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425D" w14:textId="77777777" w:rsidR="00B44295" w:rsidRDefault="00000000">
      <w:pPr>
        <w:pStyle w:val="Nadpis1"/>
      </w:pPr>
      <w:bookmarkStart w:id="0" w:name="X8a8b9d5062766dd1b375bbbf84ae49580de12c7"/>
      <w:r>
        <w:t xml:space="preserve">VŠEOBECNÉ OBCHODNÍ PODMÍNKY </w:t>
      </w:r>
    </w:p>
    <w:p w14:paraId="11ECB039" w14:textId="77777777" w:rsidR="00B44295" w:rsidRDefault="00000000">
      <w:pPr>
        <w:pStyle w:val="Nadpis2"/>
      </w:pPr>
      <w:bookmarkStart w:id="1" w:name="X651f4aa58052e42fb631368dc2aaf28e86de1a2"/>
      <w:proofErr w:type="spellStart"/>
      <w:r>
        <w:t>služby</w:t>
      </w:r>
      <w:proofErr w:type="spellEnd"/>
      <w:r>
        <w:t xml:space="preserve"> SpravujDům.cz </w:t>
      </w:r>
      <w:proofErr w:type="gramStart"/>
      <w:r>
        <w:t xml:space="preserve">( </w:t>
      </w:r>
      <w:proofErr w:type="spellStart"/>
      <w:r>
        <w:t>řešení</w:t>
      </w:r>
      <w:proofErr w:type="spellEnd"/>
      <w:proofErr w:type="gramEnd"/>
      <w:r>
        <w:t xml:space="preserve"> pro </w:t>
      </w:r>
      <w:proofErr w:type="spellStart"/>
      <w:r>
        <w:t>správu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>)</w:t>
      </w:r>
    </w:p>
    <w:p w14:paraId="4031244B" w14:textId="77777777" w:rsidR="00B44295" w:rsidRDefault="00000000">
      <w:pPr>
        <w:pStyle w:val="FirstParagraph"/>
      </w:pPr>
      <w:r>
        <w:rPr>
          <w:b/>
          <w:bCs/>
        </w:rPr>
        <w:t>Účinnost od: 1. 3. 2026</w:t>
      </w:r>
    </w:p>
    <w:p w14:paraId="384A23D1" w14:textId="77777777" w:rsidR="00B44295" w:rsidRDefault="00000000">
      <w:r>
        <w:pict w14:anchorId="03FC2FEC">
          <v:rect id="_x0000_i1025" style="width:0;height:1.5pt" o:hralign="center" o:hrstd="t" o:hr="t"/>
        </w:pict>
      </w:r>
    </w:p>
    <w:p w14:paraId="0F4CE936" w14:textId="77777777" w:rsidR="00B44295" w:rsidRDefault="00000000">
      <w:pPr>
        <w:pStyle w:val="Nadpis1"/>
      </w:pPr>
      <w:bookmarkStart w:id="2" w:name="část-i-základní-ustanovení"/>
      <w:bookmarkEnd w:id="0"/>
      <w:bookmarkEnd w:id="1"/>
      <w:r>
        <w:t>ČÁST I – ZÁKLADNÍ USTANOVENÍ</w:t>
      </w:r>
    </w:p>
    <w:p w14:paraId="149B7FC2" w14:textId="77777777" w:rsidR="00B44295" w:rsidRDefault="00000000">
      <w:pPr>
        <w:pStyle w:val="Nadpis2"/>
      </w:pPr>
      <w:bookmarkStart w:id="3" w:name="úvodní-ustanovení"/>
      <w:r>
        <w:t>1. Úvodní ustanovení</w:t>
      </w:r>
    </w:p>
    <w:p w14:paraId="2C80DF5D" w14:textId="77777777" w:rsidR="00B44295" w:rsidRDefault="00000000">
      <w:pPr>
        <w:pStyle w:val="FirstParagraph"/>
      </w:pPr>
      <w:r>
        <w:t>1.1 Tyto všeobecné obchodní podmínky (dále jen „Podmínky“) upravují práva a povinnosti smluvních stran při poskytování cloudové softwarové služby SpravujDům.cz (dále jen „Služba“).</w:t>
      </w:r>
    </w:p>
    <w:p w14:paraId="6705BADD" w14:textId="77777777" w:rsidR="00B44295" w:rsidRDefault="00000000">
      <w:pPr>
        <w:pStyle w:val="Zkladntext"/>
      </w:pPr>
      <w:r>
        <w:t>1.2 Poskytovatelem je INTEGRI Group s.r.o., se sídlem Tyršova 695, 431 11 Jirkov, IČO: 04618394, zapsaná v obchodním rejstříku vedeném Krajským soudem v Ústí nad Labem, sp. zn. C 49159 (dále jen „Poskytovatel“).</w:t>
      </w:r>
    </w:p>
    <w:p w14:paraId="61DEA672" w14:textId="77777777" w:rsidR="00B44295" w:rsidRDefault="00000000">
      <w:pPr>
        <w:pStyle w:val="Zkladntext"/>
      </w:pPr>
      <w:r>
        <w:t>1.3 Klientem je právnická osoba nebo podnikající fyzická osoba, zejména správce nemovitostí, společenství vlastníků jednotek (SVJ), bytové družstvo, obec nebo jiný veřejnoprávní subjekt (dále jen „Klient“).</w:t>
      </w:r>
    </w:p>
    <w:p w14:paraId="35A44E6A" w14:textId="77777777" w:rsidR="00B44295" w:rsidRDefault="00000000">
      <w:pPr>
        <w:pStyle w:val="Zkladntext"/>
      </w:pPr>
      <w:r>
        <w:t>1.4 Tyto Podmínky jsou nedílnou součástí smlouvy o poskytování služby (dále jen „Smlouva“). V případě rozporu má přednost Smlouva.</w:t>
      </w:r>
    </w:p>
    <w:p w14:paraId="7B60FAAB" w14:textId="77777777" w:rsidR="00B44295" w:rsidRDefault="00000000">
      <w:r>
        <w:pict w14:anchorId="7CC7197F">
          <v:rect id="_x0000_i1026" style="width:0;height:1.5pt" o:hralign="center" o:hrstd="t" o:hr="t"/>
        </w:pict>
      </w:r>
    </w:p>
    <w:p w14:paraId="527D5ADF" w14:textId="77777777" w:rsidR="00B44295" w:rsidRDefault="00000000">
      <w:pPr>
        <w:pStyle w:val="Nadpis1"/>
      </w:pPr>
      <w:bookmarkStart w:id="4" w:name="část-ii-rozsah-a-charakter-služby"/>
      <w:bookmarkEnd w:id="2"/>
      <w:bookmarkEnd w:id="3"/>
      <w:r>
        <w:t>ČÁST II – ROZSAH A CHARAKTER SLUŽBY</w:t>
      </w:r>
    </w:p>
    <w:p w14:paraId="2E13F474" w14:textId="77777777" w:rsidR="00B44295" w:rsidRDefault="00000000">
      <w:pPr>
        <w:pStyle w:val="Nadpis2"/>
      </w:pPr>
      <w:bookmarkStart w:id="5" w:name="předmět-plnění"/>
      <w:r>
        <w:t>2. Předmět plnění</w:t>
      </w:r>
    </w:p>
    <w:p w14:paraId="4E95DF01" w14:textId="77777777" w:rsidR="00B44295" w:rsidRDefault="00000000">
      <w:pPr>
        <w:pStyle w:val="FirstParagraph"/>
      </w:pPr>
      <w:r>
        <w:t>2.1 Poskytovatel poskytuje Klientovi přístup k online systému určenému pro správu bytových domů a portfolií nemovitostí.</w:t>
      </w:r>
    </w:p>
    <w:p w14:paraId="66991389" w14:textId="77777777" w:rsidR="00B44295" w:rsidRDefault="00000000">
      <w:pPr>
        <w:pStyle w:val="Zkladntext"/>
      </w:pPr>
      <w:r>
        <w:t>2.2 Služba zahrnuje zejména: - evidenci jednotek, vlastníků a nájemníků, - správu předpisů, plateb a vyúčtování, - účetní evidenci a exporty, - správu dokumentů a digitální archiv, - komunikační nástroje, - reporting a export dat, - API rozhraní (je-li sjednáno).</w:t>
      </w:r>
    </w:p>
    <w:p w14:paraId="198F575F" w14:textId="77777777" w:rsidR="00B44295" w:rsidRDefault="00000000">
      <w:pPr>
        <w:pStyle w:val="Zkladntext"/>
      </w:pPr>
      <w:r>
        <w:t>2.3 Služba je poskytována jako SaaS řešení prostřednictvím zabezpečeného přístupu přes internet.</w:t>
      </w:r>
    </w:p>
    <w:p w14:paraId="2B17A0DE" w14:textId="77777777" w:rsidR="00B44295" w:rsidRDefault="00000000">
      <w:pPr>
        <w:pStyle w:val="Zkladntext"/>
      </w:pPr>
      <w:r>
        <w:lastRenderedPageBreak/>
        <w:t>2.4 Poskytovatel je oprávněn Službu průběžně aktualizovat, optimalizovat a rozšiřovat v souladu s technologickým vývojem a legislativními změnami.</w:t>
      </w:r>
    </w:p>
    <w:p w14:paraId="448337D2" w14:textId="77777777" w:rsidR="00B44295" w:rsidRDefault="00000000">
      <w:r>
        <w:pict w14:anchorId="7D2A06C6">
          <v:rect id="_x0000_i1027" style="width:0;height:1.5pt" o:hralign="center" o:hrstd="t" o:hr="t"/>
        </w:pict>
      </w:r>
    </w:p>
    <w:p w14:paraId="79013E97" w14:textId="77777777" w:rsidR="00B44295" w:rsidRDefault="00000000">
      <w:pPr>
        <w:pStyle w:val="Nadpis1"/>
      </w:pPr>
      <w:bookmarkStart w:id="6" w:name="část-iii-implementace-a-přechod-dat"/>
      <w:bookmarkEnd w:id="4"/>
      <w:bookmarkEnd w:id="5"/>
      <w:r>
        <w:t>ČÁST III – IMPLEMENTACE A PŘECHOD DAT</w:t>
      </w:r>
    </w:p>
    <w:p w14:paraId="3FCB15C0" w14:textId="77777777" w:rsidR="00B44295" w:rsidRDefault="00000000">
      <w:pPr>
        <w:pStyle w:val="Nadpis2"/>
      </w:pPr>
      <w:bookmarkStart w:id="7" w:name="implementace"/>
      <w:r>
        <w:t>3. Implementace</w:t>
      </w:r>
    </w:p>
    <w:p w14:paraId="6D0E39FE" w14:textId="77777777" w:rsidR="00B44295" w:rsidRDefault="00000000">
      <w:pPr>
        <w:pStyle w:val="FirstParagraph"/>
      </w:pPr>
      <w:r>
        <w:t>3.1 Poskytovatel zajistí zřízení přístupového prostředí a základní nastavení systému.</w:t>
      </w:r>
    </w:p>
    <w:p w14:paraId="55D3BDE8" w14:textId="77777777" w:rsidR="00B44295" w:rsidRDefault="00000000">
      <w:pPr>
        <w:pStyle w:val="Zkladntext"/>
      </w:pPr>
      <w:r>
        <w:t>3.2 Migrace dat probíhá na základě součinnosti Klienta. Klient odpovídá za správnost předaných dat.</w:t>
      </w:r>
    </w:p>
    <w:p w14:paraId="37295834" w14:textId="77777777" w:rsidR="00B44295" w:rsidRDefault="00000000">
      <w:pPr>
        <w:pStyle w:val="Zkladntext"/>
      </w:pPr>
      <w:r>
        <w:t>3.3 Není-li sjednáno jinak, migrace historických dat nad rámec běžného importu je zpoplatněna dle individuální nabídky.</w:t>
      </w:r>
    </w:p>
    <w:p w14:paraId="4829A472" w14:textId="77777777" w:rsidR="00B44295" w:rsidRDefault="00000000">
      <w:r>
        <w:pict w14:anchorId="5052CF57">
          <v:rect id="_x0000_i1028" style="width:0;height:1.5pt" o:hralign="center" o:hrstd="t" o:hr="t"/>
        </w:pict>
      </w:r>
    </w:p>
    <w:p w14:paraId="0096964A" w14:textId="77777777" w:rsidR="00B44295" w:rsidRDefault="00000000">
      <w:pPr>
        <w:pStyle w:val="Nadpis1"/>
      </w:pPr>
      <w:bookmarkStart w:id="8" w:name="část-iv-licence-a-duševní-vlastnictví"/>
      <w:bookmarkEnd w:id="6"/>
      <w:bookmarkEnd w:id="7"/>
      <w:r>
        <w:t>ČÁST IV – LICENCE A DUŠEVNÍ VLASTNICTVÍ</w:t>
      </w:r>
    </w:p>
    <w:p w14:paraId="2C104570" w14:textId="77777777" w:rsidR="00B44295" w:rsidRDefault="00000000">
      <w:pPr>
        <w:pStyle w:val="Nadpis2"/>
      </w:pPr>
      <w:bookmarkStart w:id="9" w:name="licence"/>
      <w:r>
        <w:t>4. Licence</w:t>
      </w:r>
    </w:p>
    <w:p w14:paraId="0744A824" w14:textId="77777777" w:rsidR="00B44295" w:rsidRDefault="00000000">
      <w:pPr>
        <w:pStyle w:val="FirstParagraph"/>
      </w:pPr>
      <w:r>
        <w:t>4.1 Poskytovatel uděluje Klientovi nevýhradní, nepřenosnou a časově omezenou licenci po dobu trvání Smlouvy.</w:t>
      </w:r>
    </w:p>
    <w:p w14:paraId="6FF332DF" w14:textId="77777777" w:rsidR="00B44295" w:rsidRDefault="00000000">
      <w:pPr>
        <w:pStyle w:val="Zkladntext"/>
      </w:pPr>
      <w:r>
        <w:t>4.2 Licence je omezena rozsahem sjednaného tarifu, počtem jednotek a uživatelů.</w:t>
      </w:r>
    </w:p>
    <w:p w14:paraId="5FF389A3" w14:textId="77777777" w:rsidR="00B44295" w:rsidRDefault="00000000">
      <w:pPr>
        <w:pStyle w:val="Zkladntext"/>
      </w:pPr>
      <w:r>
        <w:t>4.3 Klient není oprávněn: - poskytovat přístup třetím osobám mimo svou organizaci, - dekompilovat, analyzovat nebo zpětně inženýrovat software, - vytvářet konkurenční řešení na základě Služby.</w:t>
      </w:r>
    </w:p>
    <w:p w14:paraId="1CF414BF" w14:textId="77777777" w:rsidR="00B44295" w:rsidRDefault="00000000">
      <w:pPr>
        <w:pStyle w:val="Zkladntext"/>
      </w:pPr>
      <w:r>
        <w:t>4.4 Veškerá práva duševního vlastnictví náleží Poskytovateli.</w:t>
      </w:r>
    </w:p>
    <w:p w14:paraId="5ACCB7C1" w14:textId="77777777" w:rsidR="00B44295" w:rsidRDefault="00000000">
      <w:r>
        <w:pict w14:anchorId="13E92EB9">
          <v:rect id="_x0000_i1029" style="width:0;height:1.5pt" o:hralign="center" o:hrstd="t" o:hr="t"/>
        </w:pict>
      </w:r>
    </w:p>
    <w:p w14:paraId="7AB2552E" w14:textId="77777777" w:rsidR="00B44295" w:rsidRDefault="00000000">
      <w:pPr>
        <w:pStyle w:val="Nadpis1"/>
      </w:pPr>
      <w:bookmarkStart w:id="10" w:name="část-v-cena-a-platební-podmínky"/>
      <w:bookmarkEnd w:id="8"/>
      <w:bookmarkEnd w:id="9"/>
      <w:r>
        <w:t>ČÁST V – CENA A PLATEBNÍ PODMÍNKY</w:t>
      </w:r>
    </w:p>
    <w:p w14:paraId="267ABF65" w14:textId="77777777" w:rsidR="00B44295" w:rsidRDefault="00000000">
      <w:pPr>
        <w:pStyle w:val="Nadpis2"/>
      </w:pPr>
      <w:bookmarkStart w:id="11" w:name="cena"/>
      <w:r>
        <w:t>5. Cena</w:t>
      </w:r>
    </w:p>
    <w:p w14:paraId="4E0D5EEE" w14:textId="77777777" w:rsidR="00B44295" w:rsidRDefault="00000000">
      <w:pPr>
        <w:pStyle w:val="FirstParagraph"/>
      </w:pPr>
      <w:r>
        <w:t>5.1 Cena je stanovena ve Smlouvě nebo aktuálním ceníku.</w:t>
      </w:r>
    </w:p>
    <w:p w14:paraId="71FFB71C" w14:textId="77777777" w:rsidR="00B44295" w:rsidRDefault="00000000">
      <w:pPr>
        <w:pStyle w:val="Zkladntext"/>
      </w:pPr>
      <w:r>
        <w:t>5.2 Cena může být stanovena dle: - počtu spravovaných jednotek, - počtu uživatelů, - rozsahu modulů, - úrovně SLA.</w:t>
      </w:r>
    </w:p>
    <w:p w14:paraId="7A20A787" w14:textId="77777777" w:rsidR="00B44295" w:rsidRDefault="00000000">
      <w:pPr>
        <w:pStyle w:val="Zkladntext"/>
      </w:pPr>
      <w:r>
        <w:t>5.3 Fakturace probíhá měsíčně, čtvrtletně nebo ročně.</w:t>
      </w:r>
    </w:p>
    <w:p w14:paraId="51C7D7B5" w14:textId="77777777" w:rsidR="00B44295" w:rsidRDefault="00000000">
      <w:pPr>
        <w:pStyle w:val="Zkladntext"/>
      </w:pPr>
      <w:r>
        <w:lastRenderedPageBreak/>
        <w:t>5.4 Splatnost činí 14 dní.</w:t>
      </w:r>
    </w:p>
    <w:p w14:paraId="7AAB29B8" w14:textId="77777777" w:rsidR="00B44295" w:rsidRDefault="00000000">
      <w:pPr>
        <w:pStyle w:val="Zkladntext"/>
      </w:pPr>
      <w:r>
        <w:t>5.5 Poskytovatel je oprávněn cenu každoročně navýšit o roční míru inflace dle ČSÚ.</w:t>
      </w:r>
    </w:p>
    <w:p w14:paraId="136C786C" w14:textId="77777777" w:rsidR="00B44295" w:rsidRDefault="00000000">
      <w:pPr>
        <w:pStyle w:val="Zkladntext"/>
      </w:pPr>
      <w:r>
        <w:t>5.6 V případě prodlení delšího než 30 dní může Poskytovatel omezit poskytování služby.</w:t>
      </w:r>
    </w:p>
    <w:p w14:paraId="43549562" w14:textId="77777777" w:rsidR="00B44295" w:rsidRDefault="00000000">
      <w:r>
        <w:pict w14:anchorId="73B23B2E">
          <v:rect id="_x0000_i1030" style="width:0;height:1.5pt" o:hralign="center" o:hrstd="t" o:hr="t"/>
        </w:pict>
      </w:r>
    </w:p>
    <w:p w14:paraId="1EF3BBC0" w14:textId="77777777" w:rsidR="00B44295" w:rsidRDefault="00000000">
      <w:pPr>
        <w:pStyle w:val="Nadpis1"/>
      </w:pPr>
      <w:bookmarkStart w:id="12" w:name="část-vi-sla-a-dostupnost"/>
      <w:bookmarkEnd w:id="10"/>
      <w:bookmarkEnd w:id="11"/>
      <w:r>
        <w:t>ČÁST VI – SLA A DOSTUPNOST</w:t>
      </w:r>
    </w:p>
    <w:p w14:paraId="077684DA" w14:textId="77777777" w:rsidR="00B44295" w:rsidRDefault="00000000">
      <w:pPr>
        <w:pStyle w:val="Nadpis2"/>
      </w:pPr>
      <w:bookmarkStart w:id="13" w:name="garantovaná-dostupnost"/>
      <w:r>
        <w:t>6. Garantovaná dostupnost</w:t>
      </w:r>
    </w:p>
    <w:p w14:paraId="68D35956" w14:textId="77777777" w:rsidR="00B44295" w:rsidRDefault="00000000">
      <w:pPr>
        <w:pStyle w:val="FirstParagraph"/>
      </w:pPr>
      <w:r>
        <w:t>6.1 Standardní SLA: 99 % měsíční dostupnosti.</w:t>
      </w:r>
    </w:p>
    <w:p w14:paraId="0F1736A6" w14:textId="77777777" w:rsidR="00B44295" w:rsidRDefault="00000000">
      <w:pPr>
        <w:pStyle w:val="Zkladntext"/>
      </w:pPr>
      <w:r>
        <w:t>6.2 Enterprise SLA (je-li sjednáno): 99,5 % nebo 99,9 %.</w:t>
      </w:r>
    </w:p>
    <w:p w14:paraId="08984232" w14:textId="77777777" w:rsidR="00B44295" w:rsidRDefault="00000000">
      <w:pPr>
        <w:pStyle w:val="Zkladntext"/>
      </w:pPr>
      <w:r>
        <w:t>6.3 Do výpočtu dostupnosti se nezapočítávají: - plánované odstávky, - vyšší moc, - výpadky třetích stran.</w:t>
      </w:r>
    </w:p>
    <w:p w14:paraId="54301B01" w14:textId="77777777" w:rsidR="00B44295" w:rsidRDefault="00000000">
      <w:pPr>
        <w:pStyle w:val="Zkladntext"/>
      </w:pPr>
      <w:r>
        <w:t>6.4 Při poklesu dostupnosti pod sjednanou úroveň má Klient nárok na servisní kredit dle SLA tabulky.</w:t>
      </w:r>
    </w:p>
    <w:p w14:paraId="5488E0F6" w14:textId="77777777" w:rsidR="00B44295" w:rsidRDefault="00000000">
      <w:r>
        <w:pict w14:anchorId="17955AF6">
          <v:rect id="_x0000_i1031" style="width:0;height:1.5pt" o:hralign="center" o:hrstd="t" o:hr="t"/>
        </w:pict>
      </w:r>
    </w:p>
    <w:p w14:paraId="222B10EA" w14:textId="77777777" w:rsidR="00B44295" w:rsidRDefault="00000000">
      <w:pPr>
        <w:pStyle w:val="Nadpis1"/>
      </w:pPr>
      <w:bookmarkStart w:id="14" w:name="část-vii-technická-podpora"/>
      <w:bookmarkEnd w:id="12"/>
      <w:bookmarkEnd w:id="13"/>
      <w:r>
        <w:t>ČÁST VII – TECHNICKÁ PODPORA</w:t>
      </w:r>
    </w:p>
    <w:p w14:paraId="6934A8C9" w14:textId="77777777" w:rsidR="00B44295" w:rsidRDefault="00000000">
      <w:pPr>
        <w:pStyle w:val="Nadpis2"/>
      </w:pPr>
      <w:bookmarkStart w:id="15" w:name="podpora"/>
      <w:r>
        <w:t>7. Podpora</w:t>
      </w:r>
    </w:p>
    <w:p w14:paraId="243C27AC" w14:textId="77777777" w:rsidR="00B44295" w:rsidRDefault="00000000">
      <w:pPr>
        <w:pStyle w:val="FirstParagraph"/>
      </w:pPr>
      <w:r>
        <w:t>7.1 Podpora je poskytována v pracovních dnech.</w:t>
      </w:r>
    </w:p>
    <w:p w14:paraId="32CAC69B" w14:textId="77777777" w:rsidR="00B44295" w:rsidRDefault="00000000">
      <w:pPr>
        <w:pStyle w:val="Zkladntext"/>
      </w:pPr>
      <w:r>
        <w:t>7.2 Reakční doby: - Kritická chyba: 4–8 hodin (enterprise režim), - Vysoká priorita: 1 pracovní den, - Běžná chyba: 2 pracovní dny.</w:t>
      </w:r>
    </w:p>
    <w:p w14:paraId="2831E8F9" w14:textId="77777777" w:rsidR="00B44295" w:rsidRDefault="00000000">
      <w:pPr>
        <w:pStyle w:val="Zkladntext"/>
      </w:pPr>
      <w:r>
        <w:t>7.3 Incident je považován za vyřešený odstraněním příčiny nebo poskytnutím náhradního řešení.</w:t>
      </w:r>
    </w:p>
    <w:p w14:paraId="1DC368EF" w14:textId="77777777" w:rsidR="00B44295" w:rsidRDefault="00000000">
      <w:r>
        <w:pict w14:anchorId="57CF3D99">
          <v:rect id="_x0000_i1032" style="width:0;height:1.5pt" o:hralign="center" o:hrstd="t" o:hr="t"/>
        </w:pict>
      </w:r>
    </w:p>
    <w:p w14:paraId="6C9D4F72" w14:textId="77777777" w:rsidR="00B44295" w:rsidRDefault="00000000">
      <w:pPr>
        <w:pStyle w:val="Nadpis1"/>
      </w:pPr>
      <w:bookmarkStart w:id="16" w:name="část-viii-bezpečnost-a-ochrana-dat"/>
      <w:bookmarkEnd w:id="14"/>
      <w:bookmarkEnd w:id="15"/>
      <w:r>
        <w:t>ČÁST VIII – BEZPEČNOST A OCHRANA DAT</w:t>
      </w:r>
    </w:p>
    <w:p w14:paraId="69FDB236" w14:textId="77777777" w:rsidR="00B44295" w:rsidRDefault="00000000">
      <w:pPr>
        <w:pStyle w:val="Nadpis2"/>
      </w:pPr>
      <w:bookmarkStart w:id="17" w:name="bezpečnost"/>
      <w:r>
        <w:t>8. Bezpečnost</w:t>
      </w:r>
    </w:p>
    <w:p w14:paraId="44AAADBD" w14:textId="77777777" w:rsidR="00B44295" w:rsidRDefault="00000000">
      <w:pPr>
        <w:pStyle w:val="FirstParagraph"/>
      </w:pPr>
      <w:r>
        <w:t>8.1 Služba je provozována v datových centrech v EU.</w:t>
      </w:r>
    </w:p>
    <w:p w14:paraId="62D8099E" w14:textId="77777777" w:rsidR="00B44295" w:rsidRDefault="00000000">
      <w:pPr>
        <w:pStyle w:val="Zkladntext"/>
      </w:pPr>
      <w:r>
        <w:lastRenderedPageBreak/>
        <w:t>8.2 Poskytovatel zajišťuje: - šifrování přenosu dat (TLS), - řízení přístupových práv, - vícefaktorové ověřování (je-li dostupné), - pravidelné bezpečnostní aktualizace, - logování přístupů, - zálohování dat minimálně 1× denně.</w:t>
      </w:r>
    </w:p>
    <w:p w14:paraId="14F5EA10" w14:textId="77777777" w:rsidR="00B44295" w:rsidRDefault="00000000">
      <w:pPr>
        <w:pStyle w:val="Zkladntext"/>
      </w:pPr>
      <w:r>
        <w:t>8.3 Poskytovatel udržuje bezpečnostní procesy v souladu s principy ISO/IEC 27001 nebo srovnatelným rámcem.</w:t>
      </w:r>
    </w:p>
    <w:p w14:paraId="39211E5C" w14:textId="77777777" w:rsidR="00B44295" w:rsidRDefault="00000000">
      <w:r>
        <w:pict w14:anchorId="447AF332">
          <v:rect id="_x0000_i1033" style="width:0;height:1.5pt" o:hralign="center" o:hrstd="t" o:hr="t"/>
        </w:pict>
      </w:r>
    </w:p>
    <w:p w14:paraId="46969241" w14:textId="77777777" w:rsidR="00B44295" w:rsidRDefault="00000000">
      <w:pPr>
        <w:pStyle w:val="Nadpis1"/>
      </w:pPr>
      <w:bookmarkStart w:id="18" w:name="část-ix-gdpr-a-zpracování-osobních-údajů"/>
      <w:bookmarkEnd w:id="16"/>
      <w:bookmarkEnd w:id="17"/>
      <w:r>
        <w:t>ČÁST IX – GDPR A ZPRACOVÁNÍ OSOBNÍCH ÚDAJŮ</w:t>
      </w:r>
    </w:p>
    <w:p w14:paraId="1975917F" w14:textId="77777777" w:rsidR="00B44295" w:rsidRDefault="00000000">
      <w:pPr>
        <w:pStyle w:val="Nadpis2"/>
      </w:pPr>
      <w:bookmarkStart w:id="19" w:name="postavení-stran"/>
      <w:r>
        <w:t>9. Postavení stran</w:t>
      </w:r>
    </w:p>
    <w:p w14:paraId="4E5B6C5C" w14:textId="77777777" w:rsidR="00B44295" w:rsidRDefault="00000000">
      <w:pPr>
        <w:pStyle w:val="FirstParagraph"/>
      </w:pPr>
      <w:r>
        <w:t>9.1 Klient je správcem osobních údajů.</w:t>
      </w:r>
    </w:p>
    <w:p w14:paraId="2458DA3E" w14:textId="77777777" w:rsidR="00B44295" w:rsidRDefault="00000000">
      <w:pPr>
        <w:pStyle w:val="Zkladntext"/>
      </w:pPr>
      <w:r>
        <w:t>9.2 Poskytovatel je zpracovatelem dle čl. 28 GDPR.</w:t>
      </w:r>
    </w:p>
    <w:p w14:paraId="7FB947AC" w14:textId="77777777" w:rsidR="00B44295" w:rsidRDefault="00000000">
      <w:pPr>
        <w:pStyle w:val="Zkladntext"/>
      </w:pPr>
      <w:r>
        <w:t>9.3 Zpracování probíhá výhradně za účelem poskytování Služby.</w:t>
      </w:r>
    </w:p>
    <w:p w14:paraId="01FF98CF" w14:textId="77777777" w:rsidR="00B44295" w:rsidRDefault="00000000">
      <w:pPr>
        <w:pStyle w:val="Zkladntext"/>
      </w:pPr>
      <w:r>
        <w:t>9.4 Po ukončení Smlouvy budou data uchována 30 dní pro export, poté bezpečně vymazána.</w:t>
      </w:r>
    </w:p>
    <w:p w14:paraId="4595F279" w14:textId="77777777" w:rsidR="00B44295" w:rsidRDefault="00000000">
      <w:pPr>
        <w:pStyle w:val="Zkladntext"/>
      </w:pPr>
      <w:r>
        <w:t>9.5 Podrobnosti jsou upraveny v samostatné Zpracovatelské smlouvě (DPA), která je přílohou těchto Podmínek.</w:t>
      </w:r>
    </w:p>
    <w:p w14:paraId="2483EB6C" w14:textId="77777777" w:rsidR="00B44295" w:rsidRDefault="00000000">
      <w:r>
        <w:pict w14:anchorId="3BD08C1F">
          <v:rect id="_x0000_i1034" style="width:0;height:1.5pt" o:hralign="center" o:hrstd="t" o:hr="t"/>
        </w:pict>
      </w:r>
    </w:p>
    <w:p w14:paraId="73EB4215" w14:textId="77777777" w:rsidR="00B44295" w:rsidRDefault="00000000">
      <w:pPr>
        <w:pStyle w:val="Nadpis1"/>
      </w:pPr>
      <w:bookmarkStart w:id="20" w:name="část-x-odpovědnost-a-náhrada-škody"/>
      <w:bookmarkEnd w:id="18"/>
      <w:bookmarkEnd w:id="19"/>
      <w:r>
        <w:t>ČÁST X – ODPOVĚDNOST A NÁHRADA ŠKODY</w:t>
      </w:r>
    </w:p>
    <w:p w14:paraId="23531425" w14:textId="77777777" w:rsidR="00B44295" w:rsidRDefault="00000000">
      <w:pPr>
        <w:pStyle w:val="Nadpis2"/>
      </w:pPr>
      <w:bookmarkStart w:id="21" w:name="omezení-odpovědnosti"/>
      <w:r>
        <w:t>10. Omezení odpovědnosti</w:t>
      </w:r>
    </w:p>
    <w:p w14:paraId="4538944D" w14:textId="77777777" w:rsidR="00B44295" w:rsidRDefault="00000000">
      <w:pPr>
        <w:pStyle w:val="FirstParagraph"/>
      </w:pPr>
      <w:r>
        <w:t>10.1 Poskytovatel neodpovídá za: - nesprávná data Klienta, - výpadky internetového připojení Klienta, - zásahy třetích osob, - vyšší moc.</w:t>
      </w:r>
    </w:p>
    <w:p w14:paraId="269E250B" w14:textId="77777777" w:rsidR="00B44295" w:rsidRDefault="00000000">
      <w:pPr>
        <w:pStyle w:val="Zkladntext"/>
      </w:pPr>
      <w:r>
        <w:t>10.2 Maximální odpovědnost Poskytovatele je omezena částkou odpovídající ročnímu plnění za posledních 12 měsíců.</w:t>
      </w:r>
    </w:p>
    <w:p w14:paraId="1BFFCD06" w14:textId="77777777" w:rsidR="00B44295" w:rsidRDefault="00000000">
      <w:pPr>
        <w:pStyle w:val="Zkladntext"/>
      </w:pPr>
      <w:r>
        <w:t>10.3 Omezení se nevztahuje na škodu způsobenou úmyslně nebo hrubou nedbalostí.</w:t>
      </w:r>
    </w:p>
    <w:p w14:paraId="3F69113B" w14:textId="77777777" w:rsidR="00B44295" w:rsidRDefault="00000000">
      <w:r>
        <w:pict w14:anchorId="4A9C5BA0">
          <v:rect id="_x0000_i1035" style="width:0;height:1.5pt" o:hralign="center" o:hrstd="t" o:hr="t"/>
        </w:pict>
      </w:r>
    </w:p>
    <w:p w14:paraId="3CC6EB29" w14:textId="77777777" w:rsidR="00B44295" w:rsidRDefault="00000000">
      <w:pPr>
        <w:pStyle w:val="Nadpis1"/>
      </w:pPr>
      <w:bookmarkStart w:id="22" w:name="část-xi-archivace-a-export-dat"/>
      <w:bookmarkEnd w:id="20"/>
      <w:bookmarkEnd w:id="21"/>
      <w:r>
        <w:t>ČÁST XI – ARCHIVACE A EXPORT DAT</w:t>
      </w:r>
    </w:p>
    <w:p w14:paraId="36385EDC" w14:textId="77777777" w:rsidR="00B44295" w:rsidRDefault="00000000">
      <w:pPr>
        <w:pStyle w:val="Nadpis2"/>
      </w:pPr>
      <w:bookmarkStart w:id="23" w:name="export"/>
      <w:r>
        <w:t>11. Export</w:t>
      </w:r>
    </w:p>
    <w:p w14:paraId="2B9BE508" w14:textId="77777777" w:rsidR="00B44295" w:rsidRDefault="00000000">
      <w:pPr>
        <w:pStyle w:val="FirstParagraph"/>
      </w:pPr>
      <w:r>
        <w:t>11.1 Klient má právo kdykoli požádat o export svých dat ve strojově čitelném formátu.</w:t>
      </w:r>
    </w:p>
    <w:p w14:paraId="16AE25D9" w14:textId="77777777" w:rsidR="00B44295" w:rsidRDefault="00000000">
      <w:pPr>
        <w:pStyle w:val="Zkladntext"/>
      </w:pPr>
      <w:r>
        <w:lastRenderedPageBreak/>
        <w:t>11.2 Po ukončení Smlouvy je Klient odpovědný za vlastní archivaci.</w:t>
      </w:r>
    </w:p>
    <w:p w14:paraId="31EEA351" w14:textId="77777777" w:rsidR="00B44295" w:rsidRDefault="00000000">
      <w:r>
        <w:pict w14:anchorId="6B73E536">
          <v:rect id="_x0000_i1036" style="width:0;height:1.5pt" o:hralign="center" o:hrstd="t" o:hr="t"/>
        </w:pict>
      </w:r>
    </w:p>
    <w:p w14:paraId="2AFC17B8" w14:textId="77777777" w:rsidR="00B44295" w:rsidRDefault="00000000">
      <w:pPr>
        <w:pStyle w:val="Nadpis1"/>
      </w:pPr>
      <w:bookmarkStart w:id="24" w:name="část-xii-mlčenlivost"/>
      <w:bookmarkEnd w:id="22"/>
      <w:bookmarkEnd w:id="23"/>
      <w:r>
        <w:t>ČÁST XII – MLČENLIVOST</w:t>
      </w:r>
    </w:p>
    <w:p w14:paraId="2426B7A6" w14:textId="77777777" w:rsidR="00B44295" w:rsidRDefault="00000000">
      <w:pPr>
        <w:pStyle w:val="Nadpis2"/>
      </w:pPr>
      <w:bookmarkStart w:id="25" w:name="důvěrné-informace"/>
      <w:r>
        <w:t>12. Důvěrné informace</w:t>
      </w:r>
    </w:p>
    <w:p w14:paraId="7C6031EB" w14:textId="77777777" w:rsidR="00B44295" w:rsidRDefault="00000000">
      <w:pPr>
        <w:pStyle w:val="FirstParagraph"/>
      </w:pPr>
      <w:r>
        <w:t>12.1 Strany se zavazují zachovávat mlčenlivost o důvěrných informacích.</w:t>
      </w:r>
    </w:p>
    <w:p w14:paraId="116803AD" w14:textId="77777777" w:rsidR="00B44295" w:rsidRDefault="00000000">
      <w:pPr>
        <w:pStyle w:val="Zkladntext"/>
      </w:pPr>
      <w:r>
        <w:t>12.2 Povinnost trvá i po skončení Smlouvy.</w:t>
      </w:r>
    </w:p>
    <w:p w14:paraId="5E61CEB3" w14:textId="77777777" w:rsidR="00B44295" w:rsidRDefault="00000000">
      <w:r>
        <w:pict w14:anchorId="582D2B85">
          <v:rect id="_x0000_i1037" style="width:0;height:1.5pt" o:hralign="center" o:hrstd="t" o:hr="t"/>
        </w:pict>
      </w:r>
    </w:p>
    <w:p w14:paraId="69439479" w14:textId="77777777" w:rsidR="00B44295" w:rsidRDefault="00000000">
      <w:pPr>
        <w:pStyle w:val="Nadpis1"/>
      </w:pPr>
      <w:bookmarkStart w:id="26" w:name="část-xiii-trvání-a-ukončení"/>
      <w:bookmarkEnd w:id="24"/>
      <w:bookmarkEnd w:id="25"/>
      <w:r>
        <w:t>ČÁST XIII – TRVÁNÍ A UKONČENÍ</w:t>
      </w:r>
    </w:p>
    <w:p w14:paraId="60A3D1ED" w14:textId="77777777" w:rsidR="00B44295" w:rsidRDefault="00000000">
      <w:pPr>
        <w:pStyle w:val="Nadpis2"/>
      </w:pPr>
      <w:bookmarkStart w:id="27" w:name="doba-trvání"/>
      <w:r>
        <w:t>13. Doba trvání</w:t>
      </w:r>
    </w:p>
    <w:p w14:paraId="07B9677D" w14:textId="77777777" w:rsidR="00B44295" w:rsidRDefault="00000000">
      <w:pPr>
        <w:pStyle w:val="FirstParagraph"/>
      </w:pPr>
      <w:r>
        <w:t>13.1 Smlouva se uzavírá na dobu neurčitou, není-li sjednáno jinak.</w:t>
      </w:r>
    </w:p>
    <w:p w14:paraId="6EC3D995" w14:textId="77777777" w:rsidR="00B44295" w:rsidRDefault="00000000">
      <w:pPr>
        <w:pStyle w:val="Zkladntext"/>
      </w:pPr>
      <w:r>
        <w:t>13.2 Výpovědní lhůta činí 3 měsíce.</w:t>
      </w:r>
    </w:p>
    <w:p w14:paraId="6A7F2BA7" w14:textId="77777777" w:rsidR="00B44295" w:rsidRDefault="00000000">
      <w:pPr>
        <w:pStyle w:val="Zkladntext"/>
      </w:pPr>
      <w:r>
        <w:t>13.3 Při podstatném porušení povinností může být Smlouva ukončena okamžitě.</w:t>
      </w:r>
    </w:p>
    <w:p w14:paraId="2BBA8FB1" w14:textId="77777777" w:rsidR="00B44295" w:rsidRDefault="00000000">
      <w:r>
        <w:pict w14:anchorId="57EB8487">
          <v:rect id="_x0000_i1038" style="width:0;height:1.5pt" o:hralign="center" o:hrstd="t" o:hr="t"/>
        </w:pict>
      </w:r>
    </w:p>
    <w:p w14:paraId="2F2753F7" w14:textId="77777777" w:rsidR="00B44295" w:rsidRDefault="00000000">
      <w:pPr>
        <w:pStyle w:val="Nadpis1"/>
      </w:pPr>
      <w:bookmarkStart w:id="28" w:name="část-xiv-veřejné-zakázky-a-registr-smluv"/>
      <w:bookmarkEnd w:id="26"/>
      <w:bookmarkEnd w:id="27"/>
      <w:r>
        <w:t>ČÁST XIV – VEŘEJNÉ ZAKÁZKY A REGISTR SMLUV</w:t>
      </w:r>
    </w:p>
    <w:p w14:paraId="12CCFC55" w14:textId="77777777" w:rsidR="00B44295" w:rsidRDefault="00000000">
      <w:pPr>
        <w:pStyle w:val="Nadpis2"/>
      </w:pPr>
      <w:bookmarkStart w:id="29" w:name="veřejnoprávní-subjekty"/>
      <w:r>
        <w:t>14. Veřejnoprávní subjekty</w:t>
      </w:r>
    </w:p>
    <w:p w14:paraId="5CF8F4EF" w14:textId="77777777" w:rsidR="00B44295" w:rsidRDefault="00000000">
      <w:pPr>
        <w:pStyle w:val="FirstParagraph"/>
      </w:pPr>
      <w:r>
        <w:t>14.1 Je-li Klient subjektem dle zákona o registru smluv, zavazuje se zveřejnit Smlouvu v souladu s právními předpisy.</w:t>
      </w:r>
    </w:p>
    <w:p w14:paraId="55D96D88" w14:textId="77777777" w:rsidR="00B44295" w:rsidRDefault="00000000">
      <w:pPr>
        <w:pStyle w:val="Zkladntext"/>
      </w:pPr>
      <w:r>
        <w:t>14.2 Poskytovatel poskytne součinnost při zveřejnění smluvních dokumentů.</w:t>
      </w:r>
    </w:p>
    <w:p w14:paraId="114BEC27" w14:textId="77777777" w:rsidR="00B44295" w:rsidRDefault="00000000">
      <w:r>
        <w:pict w14:anchorId="01480883">
          <v:rect id="_x0000_i1039" style="width:0;height:1.5pt" o:hralign="center" o:hrstd="t" o:hr="t"/>
        </w:pict>
      </w:r>
    </w:p>
    <w:p w14:paraId="28AF3D4E" w14:textId="77777777" w:rsidR="00B44295" w:rsidRDefault="00000000">
      <w:pPr>
        <w:pStyle w:val="Nadpis1"/>
      </w:pPr>
      <w:bookmarkStart w:id="30" w:name="část-xv-závěrečná-ustanovení"/>
      <w:bookmarkEnd w:id="28"/>
      <w:bookmarkEnd w:id="29"/>
      <w:r>
        <w:t>ČÁST XV – ZÁVĚREČNÁ USTANOVENÍ</w:t>
      </w:r>
    </w:p>
    <w:p w14:paraId="65CFA875" w14:textId="77777777" w:rsidR="00B44295" w:rsidRDefault="00000000">
      <w:pPr>
        <w:pStyle w:val="Nadpis2"/>
      </w:pPr>
      <w:bookmarkStart w:id="31" w:name="rozhodné-právo"/>
      <w:r>
        <w:t>15. Rozhodné právo</w:t>
      </w:r>
    </w:p>
    <w:p w14:paraId="6A7E8983" w14:textId="77777777" w:rsidR="00B44295" w:rsidRDefault="00000000">
      <w:pPr>
        <w:pStyle w:val="FirstParagraph"/>
      </w:pPr>
      <w:r>
        <w:t>15.1 Tyto Podmínky se řídí právem České republiky.</w:t>
      </w:r>
    </w:p>
    <w:p w14:paraId="136E4DD8" w14:textId="77777777" w:rsidR="00B44295" w:rsidRDefault="00000000">
      <w:pPr>
        <w:pStyle w:val="Zkladntext"/>
      </w:pPr>
      <w:r>
        <w:t>15.2 Spory budou řešeny u příslušného soudu České republiky.</w:t>
      </w:r>
    </w:p>
    <w:p w14:paraId="09AD167D" w14:textId="77777777" w:rsidR="00B44295" w:rsidRDefault="00000000">
      <w:pPr>
        <w:pStyle w:val="Zkladntext"/>
      </w:pPr>
      <w:r>
        <w:lastRenderedPageBreak/>
        <w:t>15.3 Poskytovatel je oprávněn Podmínky měnit, přičemž změna bude oznámena minimálně 30 dní před účinností.</w:t>
      </w:r>
    </w:p>
    <w:p w14:paraId="504463AB" w14:textId="77777777" w:rsidR="00B44295" w:rsidRDefault="00000000">
      <w:r>
        <w:pict w14:anchorId="437B386C">
          <v:rect id="_x0000_i1040" style="width:0;height:1.5pt" o:hralign="center" o:hrstd="t" o:hr="t"/>
        </w:pict>
      </w:r>
    </w:p>
    <w:p w14:paraId="6AB0820B" w14:textId="77777777" w:rsidR="00B44295" w:rsidRDefault="00000000">
      <w:pPr>
        <w:pStyle w:val="FirstParagraph"/>
      </w:pPr>
      <w:r>
        <w:rPr>
          <w:b/>
          <w:bCs/>
        </w:rPr>
        <w:t>Tyto Podmínky nabývají účinnosti dne 1. 3. 2026.</w:t>
      </w:r>
      <w:bookmarkEnd w:id="30"/>
      <w:bookmarkEnd w:id="31"/>
    </w:p>
    <w:sectPr w:rsidR="00B44295">
      <w:headerReference w:type="default" r:id="rId7"/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A35F" w14:textId="77777777" w:rsidR="005B1E3D" w:rsidRDefault="005B1E3D">
      <w:pPr>
        <w:spacing w:after="0"/>
      </w:pPr>
      <w:r>
        <w:separator/>
      </w:r>
    </w:p>
  </w:endnote>
  <w:endnote w:type="continuationSeparator" w:id="0">
    <w:p w14:paraId="21EBA381" w14:textId="77777777" w:rsidR="005B1E3D" w:rsidRDefault="005B1E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88EC0" w14:textId="77777777" w:rsidR="005B1E3D" w:rsidRDefault="005B1E3D">
      <w:pPr>
        <w:spacing w:after="0"/>
      </w:pPr>
      <w:r>
        <w:separator/>
      </w:r>
    </w:p>
  </w:footnote>
  <w:footnote w:type="continuationSeparator" w:id="0">
    <w:p w14:paraId="7B3086FB" w14:textId="77777777" w:rsidR="005B1E3D" w:rsidRDefault="005B1E3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B756" w14:textId="77777777" w:rsidR="00B43E91" w:rsidRDefault="00000000">
    <w:r>
      <w:rPr>
        <w:noProof/>
      </w:rPr>
      <w:drawing>
        <wp:inline distT="0" distB="0" distL="0" distR="0" wp14:anchorId="55434C46" wp14:editId="11D1FD76">
          <wp:extent cx="2286000" cy="43420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ravujdum_logo_horizontalni_proObrazovky_naSvetlePoza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4342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F724C62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11683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95"/>
    <w:rsid w:val="00191E65"/>
    <w:rsid w:val="002D151A"/>
    <w:rsid w:val="00414201"/>
    <w:rsid w:val="005B1E3D"/>
    <w:rsid w:val="00B43E91"/>
    <w:rsid w:val="00B44295"/>
    <w:rsid w:val="00C1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9C02E"/>
  <w15:docId w15:val="{834C508F-7B5E-44EE-98BD-A12CB7F7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Zkladntext"/>
    <w:link w:val="Nadpis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Zkladntext"/>
    <w:link w:val="Nadpis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Zkladntext"/>
    <w:link w:val="Nadpis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Zkladntext"/>
    <w:link w:val="Nadpis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Zkladntext"/>
    <w:link w:val="Nadpis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Zkladntext"/>
    <w:link w:val="Nadpis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Zkladntext"/>
    <w:link w:val="Nadpis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Zkladntext"/>
    <w:link w:val="Nadpis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link w:val="Nzev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zev"/>
    <w:next w:val="Zkladntext"/>
    <w:link w:val="Podnadpis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Title">
    <w:name w:val="Abstract Title"/>
    <w:basedOn w:val="Normln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character" w:customStyle="1" w:styleId="Nadpis1Char">
    <w:name w:val="Nadpis 1 Char"/>
    <w:basedOn w:val="Standardnpsmoodstavce"/>
    <w:link w:val="Nadpis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paragraph" w:customStyle="1" w:styleId="FootnoteBlockText">
    <w:name w:val="Footnote Block Text"/>
    <w:basedOn w:val="Textpoznpodarou"/>
    <w:next w:val="Textpoznpodarou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156082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869</Words>
  <Characters>5130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Žďárský</dc:creator>
  <cp:keywords/>
  <cp:lastModifiedBy>David Žďárský</cp:lastModifiedBy>
  <cp:revision>2</cp:revision>
  <dcterms:created xsi:type="dcterms:W3CDTF">2026-02-15T15:53:00Z</dcterms:created>
  <dcterms:modified xsi:type="dcterms:W3CDTF">2026-02-15T15:53:00Z</dcterms:modified>
</cp:coreProperties>
</file>